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88158C" w:rsidRDefault="0088158C" w:rsidP="0088158C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539C2D8" wp14:editId="03F49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76880" cy="2232660"/>
                  <wp:effectExtent l="0" t="0" r="0" b="0"/>
                  <wp:wrapTopAndBottom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37D">
              <w:rPr>
                <w:color w:val="auto"/>
              </w:rPr>
              <w:t>A parent who is  involved with their child’s learning proce</w:t>
            </w:r>
            <w:r>
              <w:rPr>
                <w:color w:val="auto"/>
              </w:rPr>
              <w:t>s</w:t>
            </w:r>
            <w:r w:rsidRPr="003E637D">
              <w:rPr>
                <w:color w:val="auto"/>
              </w:rPr>
              <w:t>s</w:t>
            </w:r>
          </w:p>
          <w:p w:rsidR="0088158C" w:rsidRDefault="0088158C" w:rsidP="0088158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Parent Involvement</w:t>
            </w:r>
          </w:p>
          <w:p w:rsidR="0088158C" w:rsidRPr="003E637D" w:rsidRDefault="0088158C" w:rsidP="0088158C">
            <w:pPr>
              <w:pStyle w:val="ListParagraph"/>
              <w:numPr>
                <w:ilvl w:val="0"/>
                <w:numId w:val="17"/>
              </w:numPr>
              <w:tabs>
                <w:tab w:val="num" w:pos="288"/>
              </w:tabs>
              <w:ind w:left="360"/>
            </w:pPr>
            <w:r w:rsidRPr="003E637D">
              <w:t>Provides a student network for children</w:t>
            </w:r>
          </w:p>
          <w:p w:rsidR="0088158C" w:rsidRPr="003E637D" w:rsidRDefault="0088158C" w:rsidP="0088158C">
            <w:pPr>
              <w:pStyle w:val="ListParagraph"/>
              <w:numPr>
                <w:ilvl w:val="0"/>
                <w:numId w:val="17"/>
              </w:numPr>
              <w:tabs>
                <w:tab w:val="num" w:pos="288"/>
              </w:tabs>
              <w:ind w:left="360"/>
            </w:pPr>
            <w:r w:rsidRPr="003E637D">
              <w:t xml:space="preserve">Creates an opportunity for students to have higher self-esteem, achieve greater, and facilitates self-motivation. </w:t>
            </w:r>
          </w:p>
          <w:p w:rsidR="0088158C" w:rsidRPr="003E637D" w:rsidRDefault="0088158C" w:rsidP="0088158C">
            <w:pPr>
              <w:pStyle w:val="ListParagraph"/>
              <w:numPr>
                <w:ilvl w:val="0"/>
                <w:numId w:val="17"/>
              </w:numPr>
              <w:tabs>
                <w:tab w:val="num" w:pos="288"/>
              </w:tabs>
              <w:ind w:left="360"/>
            </w:pPr>
            <w:r w:rsidRPr="003E637D">
              <w:t>Parental involvement is known to be linked with improved behavior, regular attendance and positive attitudes</w:t>
            </w:r>
          </w:p>
          <w:p w:rsidR="0088158C" w:rsidRPr="003E637D" w:rsidRDefault="0088158C" w:rsidP="0088158C">
            <w:pPr>
              <w:pStyle w:val="ListParagraph"/>
              <w:numPr>
                <w:ilvl w:val="0"/>
                <w:numId w:val="17"/>
              </w:numPr>
              <w:tabs>
                <w:tab w:val="num" w:pos="288"/>
              </w:tabs>
              <w:ind w:left="360"/>
            </w:pPr>
            <w:r w:rsidRPr="003E637D">
              <w:t>Involvement helps give children attention and praise which, in turn, helps them recognize their education is worthy of adult interest.</w:t>
            </w:r>
          </w:p>
          <w:p w:rsidR="0088158C" w:rsidRPr="003E637D" w:rsidRDefault="0088158C" w:rsidP="0088158C"/>
          <w:p w:rsidR="00641501" w:rsidRPr="00B01442" w:rsidRDefault="00641501" w:rsidP="0088158C">
            <w:pPr>
              <w:pStyle w:val="ListBullet"/>
              <w:numPr>
                <w:ilvl w:val="0"/>
                <w:numId w:val="0"/>
              </w:numPr>
              <w:ind w:left="288" w:hanging="288"/>
              <w:rPr>
                <w:b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4638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567"/>
            </w:tblGrid>
            <w:tr w:rsidR="00307EC9" w:rsidTr="00641501">
              <w:trPr>
                <w:trHeight w:hRule="exact" w:val="11340"/>
              </w:trPr>
              <w:tc>
                <w:tcPr>
                  <w:tcW w:w="5000" w:type="pct"/>
                </w:tcPr>
                <w:p w:rsidR="00307EC9" w:rsidRDefault="005956A0" w:rsidP="005956A0">
                  <w:pPr>
                    <w:pStyle w:val="Heading1"/>
                    <w:jc w:val="center"/>
                  </w:pPr>
                  <w:r>
                    <w:t>A child’s learning doesn’t end in the classroom</w:t>
                  </w:r>
                </w:p>
                <w:p w:rsidR="00641501" w:rsidRDefault="00641501" w:rsidP="005956A0"/>
                <w:p w:rsidR="005956A0" w:rsidRPr="005956A0" w:rsidRDefault="005956A0" w:rsidP="005956A0">
                  <w:r w:rsidRPr="005956A0">
                    <w:t>Students with involved parents or other caregivers earn higher grades and test scores, have better social skills, and show improved behavior.</w:t>
                  </w:r>
                  <w:r w:rsidR="000659AD">
                    <w:t xml:space="preserve"> It is crucial for your child to continue learning beyond the classroom. A student does not stop learning once class is over.</w:t>
                  </w:r>
                </w:p>
                <w:p w:rsidR="00307EC9" w:rsidRDefault="000659AD" w:rsidP="00365EBB">
                  <w:pPr>
                    <w:pStyle w:val="Heading2"/>
                  </w:pPr>
                  <w:r>
                    <w:t>Contact information</w:t>
                  </w:r>
                </w:p>
                <w:p w:rsidR="00641501" w:rsidRDefault="00641501" w:rsidP="00641501">
                  <w:pPr>
                    <w:spacing w:after="0" w:line="240" w:lineRule="auto"/>
                  </w:pPr>
                  <w:r>
                    <w:t xml:space="preserve">Justin Walter </w:t>
                  </w:r>
                </w:p>
                <w:p w:rsidR="000659AD" w:rsidRDefault="00307EC9" w:rsidP="00641501">
                  <w:pPr>
                    <w:spacing w:after="0" w:line="240" w:lineRule="auto"/>
                  </w:pPr>
                  <w:r w:rsidRPr="00641501">
                    <w:rPr>
                      <w:b/>
                    </w:rPr>
                    <w:t>Phone:</w:t>
                  </w:r>
                  <w:r>
                    <w:t xml:space="preserve"> </w:t>
                  </w:r>
                  <w:r w:rsidR="000659AD">
                    <w:t>(724)-977-1212</w:t>
                  </w:r>
                  <w:r>
                    <w:br/>
                  </w:r>
                  <w:r w:rsidRPr="00641501">
                    <w:rPr>
                      <w:b/>
                    </w:rPr>
                    <w:t>Email:</w:t>
                  </w:r>
                  <w:r>
                    <w:t xml:space="preserve"> </w:t>
                  </w:r>
                  <w:r w:rsidR="000659AD">
                    <w:t>JWalter@thiel.edu</w:t>
                  </w:r>
                  <w:r w:rsidR="000659AD">
                    <w:br/>
                  </w:r>
                  <w:r w:rsidR="000659AD" w:rsidRPr="00641501">
                    <w:rPr>
                      <w:b/>
                    </w:rPr>
                    <w:t>Sources:</w:t>
                  </w:r>
                </w:p>
                <w:p w:rsidR="00641501" w:rsidRPr="00641501" w:rsidRDefault="00641501" w:rsidP="000659AD">
                  <w:pPr>
                    <w:rPr>
                      <w:sz w:val="20"/>
                      <w:szCs w:val="20"/>
                    </w:rPr>
                  </w:pPr>
                  <w:r w:rsidRPr="00641501">
                    <w:rPr>
                      <w:sz w:val="20"/>
                      <w:szCs w:val="20"/>
                    </w:rPr>
                    <w:t>http://www.pbs.org/parents/education/learning-disabilities/supporting-your-child/help-children-succeed/</w:t>
                  </w:r>
                </w:p>
                <w:p w:rsidR="000659AD" w:rsidRDefault="00641501" w:rsidP="000659AD">
                  <w:pPr>
                    <w:rPr>
                      <w:sz w:val="20"/>
                      <w:szCs w:val="20"/>
                    </w:rPr>
                  </w:pPr>
                  <w:r w:rsidRPr="00641501">
                    <w:rPr>
                      <w:sz w:val="20"/>
                      <w:szCs w:val="20"/>
                    </w:rPr>
                    <w:t>www.washingtonchristian.org/blog/the-importance-of-parental-involvement-in-your-childs-education</w:t>
                  </w:r>
                  <w:r w:rsidRPr="00641501">
                    <w:rPr>
                      <w:sz w:val="20"/>
                      <w:szCs w:val="20"/>
                    </w:rPr>
                    <w:cr/>
                  </w:r>
                  <w:r>
                    <w:t xml:space="preserve"> </w:t>
                  </w:r>
                  <w:r w:rsidRPr="00641501">
                    <w:rPr>
                      <w:sz w:val="20"/>
                      <w:szCs w:val="20"/>
                    </w:rPr>
                    <w:t>https://www.ncbi.nlm.nih.gov/pmc/articles/PMC2973328/</w:t>
                  </w:r>
                </w:p>
                <w:p w:rsidR="00641501" w:rsidRDefault="00641501" w:rsidP="000659AD">
                  <w:pPr>
                    <w:rPr>
                      <w:sz w:val="20"/>
                      <w:szCs w:val="20"/>
                    </w:rPr>
                  </w:pPr>
                  <w:r w:rsidRPr="00641501">
                    <w:rPr>
                      <w:sz w:val="20"/>
                      <w:szCs w:val="20"/>
                    </w:rPr>
                    <w:t>http://www.magicyears.ac.th/the-importance-of-reading-at-home</w:t>
                  </w:r>
                </w:p>
                <w:p w:rsidR="00641501" w:rsidRDefault="00641501" w:rsidP="000659AD">
                  <w:pPr>
                    <w:rPr>
                      <w:sz w:val="20"/>
                      <w:szCs w:val="20"/>
                    </w:rPr>
                  </w:pPr>
                  <w:r w:rsidRPr="00641501">
                    <w:rPr>
                      <w:sz w:val="20"/>
                      <w:szCs w:val="20"/>
                    </w:rPr>
                    <w:t>http://www.edu-nova.com/articles/student-confidence/</w:t>
                  </w:r>
                </w:p>
                <w:p w:rsidR="00641501" w:rsidRDefault="00641501" w:rsidP="000659AD">
                  <w:pPr>
                    <w:rPr>
                      <w:sz w:val="20"/>
                      <w:szCs w:val="20"/>
                    </w:rPr>
                  </w:pPr>
                </w:p>
                <w:p w:rsidR="00641501" w:rsidRPr="00641501" w:rsidRDefault="00641501" w:rsidP="000659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7EC9" w:rsidTr="00641501">
              <w:trPr>
                <w:trHeight w:hRule="exact" w:val="68"/>
              </w:trPr>
              <w:tc>
                <w:tcPr>
                  <w:tcW w:w="5000" w:type="pct"/>
                  <w:vAlign w:val="bottom"/>
                </w:tcPr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4100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100"/>
            </w:tblGrid>
            <w:tr w:rsidR="00307EC9" w:rsidTr="00937333">
              <w:trPr>
                <w:trHeight w:hRule="exact" w:val="4082"/>
              </w:trPr>
              <w:tc>
                <w:tcPr>
                  <w:tcW w:w="5000" w:type="pct"/>
                </w:tcPr>
                <w:p w:rsidR="00307EC9" w:rsidRDefault="00937333" w:rsidP="00937333">
                  <w:r>
                    <w:rPr>
                      <w:noProof/>
                      <w:lang w:eastAsia="en-US"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 wp14:anchorId="195E6725" wp14:editId="55A7BFF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83820</wp:posOffset>
                        </wp:positionV>
                        <wp:extent cx="2697480" cy="235204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343"/>
                            <wp:lineTo x="21508" y="21343"/>
                            <wp:lineTo x="21508" y="0"/>
                            <wp:lineTo x="0" y="0"/>
                          </wp:wrapPolygon>
                        </wp:wrapTight>
                        <wp:docPr id="6" name="Picture 6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7480" cy="235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7EC9" w:rsidTr="00937333">
              <w:trPr>
                <w:trHeight w:hRule="exact" w:val="71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37333">
              <w:trPr>
                <w:trHeight w:hRule="exact" w:val="4784"/>
              </w:trPr>
              <w:sdt>
                <w:sdtPr>
                  <w:alias w:val="Enter Company Name:"/>
                  <w:tag w:val="Enter Company Name:"/>
                  <w:id w:val="-2083982577"/>
                  <w:placeholder>
                    <w:docPart w:val="8A475A85597B4BFAB4A3A3EC1D877FC8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5E51D7" w:rsidP="00937333">
                      <w:pPr>
                        <w:pStyle w:val="Title"/>
                      </w:pPr>
                      <w:r>
                        <w:t>Student Success Outside of the classroom</w:t>
                      </w:r>
                    </w:p>
                  </w:tc>
                </w:sdtContent>
              </w:sdt>
            </w:tr>
            <w:tr w:rsidR="00307EC9" w:rsidTr="00937333">
              <w:trPr>
                <w:trHeight w:hRule="exact" w:val="2125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Pr="003E637D" w:rsidRDefault="00937333" w:rsidP="00937333">
                  <w:pPr>
                    <w:pStyle w:val="Subtitle"/>
                    <w:rPr>
                      <w:sz w:val="28"/>
                      <w:szCs w:val="28"/>
                    </w:rPr>
                  </w:pPr>
                  <w:r w:rsidRPr="003E637D">
                    <w:rPr>
                      <w:sz w:val="28"/>
                      <w:szCs w:val="28"/>
                    </w:rPr>
                    <w:t>Tips and Strategies for Parents to Continue</w:t>
                  </w:r>
                  <w:r w:rsidR="003E637D" w:rsidRPr="003E637D">
                    <w:rPr>
                      <w:sz w:val="28"/>
                      <w:szCs w:val="28"/>
                    </w:rPr>
                    <w:t xml:space="preserve"> their Child’s Learning at Home</w:t>
                  </w:r>
                  <w:r w:rsidRPr="003E63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E637D" w:rsidRDefault="003E637D" w:rsidP="00937333">
                  <w:pPr>
                    <w:pStyle w:val="Subtitle"/>
                  </w:pPr>
                  <w:r>
                    <w:t>By: Justin Walter</w:t>
                  </w:r>
                </w:p>
                <w:p w:rsidR="003E637D" w:rsidRDefault="003E637D" w:rsidP="00937333">
                  <w:pPr>
                    <w:pStyle w:val="Subtitle"/>
                  </w:pPr>
                </w:p>
                <w:p w:rsidR="003E637D" w:rsidRDefault="003E637D" w:rsidP="00937333">
                  <w:pPr>
                    <w:pStyle w:val="Subtitle"/>
                  </w:pPr>
                </w:p>
                <w:p w:rsidR="003E637D" w:rsidRDefault="003E637D" w:rsidP="00937333">
                  <w:pPr>
                    <w:pStyle w:val="Subtitle"/>
                  </w:pPr>
                </w:p>
                <w:p w:rsidR="003E637D" w:rsidRDefault="003E637D" w:rsidP="00937333">
                  <w:pPr>
                    <w:pStyle w:val="Subtitle"/>
                  </w:pPr>
                </w:p>
                <w:p w:rsidR="003E637D" w:rsidRDefault="003E637D" w:rsidP="00937333">
                  <w:pPr>
                    <w:pStyle w:val="Subtitle"/>
                  </w:pP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88158C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-258445</wp:posOffset>
                  </wp:positionV>
                  <wp:extent cx="2865120" cy="2839085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83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EC9" w:rsidRDefault="00307EC9" w:rsidP="0088158C"/>
          <w:p w:rsidR="0088158C" w:rsidRDefault="0088158C" w:rsidP="0088158C"/>
          <w:p w:rsidR="0088158C" w:rsidRDefault="0088158C" w:rsidP="0088158C"/>
          <w:p w:rsidR="0088158C" w:rsidRDefault="0088158C" w:rsidP="0088158C"/>
          <w:p w:rsidR="0088158C" w:rsidRDefault="0088158C" w:rsidP="0088158C"/>
          <w:p w:rsidR="0088158C" w:rsidRDefault="0088158C" w:rsidP="0088158C"/>
          <w:p w:rsidR="0088158C" w:rsidRDefault="0088158C" w:rsidP="0088158C"/>
          <w:p w:rsidR="0088158C" w:rsidRDefault="0088158C" w:rsidP="0088158C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  <w:rPr>
                <w:b/>
              </w:rPr>
            </w:pPr>
            <w:r w:rsidRPr="00B01442">
              <w:rPr>
                <w:b/>
              </w:rPr>
              <w:t>The Connection</w:t>
            </w:r>
          </w:p>
          <w:p w:rsidR="0088158C" w:rsidRPr="00641501" w:rsidRDefault="0088158C" w:rsidP="0088158C">
            <w:pPr>
              <w:pStyle w:val="ListBullet"/>
              <w:numPr>
                <w:ilvl w:val="0"/>
                <w:numId w:val="19"/>
              </w:numPr>
            </w:pPr>
            <w:r w:rsidRPr="00641501">
              <w:t>As your child’s teacher, I will provide them with all the necessary tools to succeed not just in the school setting but in life.</w:t>
            </w:r>
          </w:p>
          <w:p w:rsidR="0088158C" w:rsidRPr="00641501" w:rsidRDefault="0088158C" w:rsidP="0088158C">
            <w:pPr>
              <w:pStyle w:val="ListBullet"/>
              <w:numPr>
                <w:ilvl w:val="0"/>
                <w:numId w:val="19"/>
              </w:numPr>
            </w:pPr>
            <w:r w:rsidRPr="00641501">
              <w:t>Maintaining strong connections and bonds with parents and students, is my top priority.</w:t>
            </w:r>
          </w:p>
          <w:p w:rsidR="0088158C" w:rsidRPr="00641501" w:rsidRDefault="0088158C" w:rsidP="0088158C">
            <w:pPr>
              <w:pStyle w:val="ListBullet"/>
              <w:numPr>
                <w:ilvl w:val="0"/>
                <w:numId w:val="19"/>
              </w:numPr>
              <w:rPr>
                <w:b/>
              </w:rPr>
            </w:pPr>
            <w:r w:rsidRPr="00641501">
              <w:t>As the school year progresses, I look forward to communicating and having meaningful collaboration so that your child can continue to grow and</w:t>
            </w:r>
            <w:r>
              <w:t xml:space="preserve"> learn.</w:t>
            </w:r>
          </w:p>
          <w:p w:rsidR="0088158C" w:rsidRPr="007014C5" w:rsidRDefault="0088158C" w:rsidP="0088158C">
            <w:pPr>
              <w:pStyle w:val="ListParagraph"/>
              <w:numPr>
                <w:ilvl w:val="0"/>
                <w:numId w:val="19"/>
              </w:numPr>
            </w:pPr>
            <w:r>
              <w:t>Feel free to contact me at any time with questions or comments. My information is listed on the back of the brochure.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9C78C6" w:rsidRPr="009C78C6" w:rsidRDefault="009C78C6" w:rsidP="009C78C6">
            <w:pPr>
              <w:pStyle w:val="Heading1"/>
              <w:jc w:val="center"/>
              <w:rPr>
                <w:b w:val="0"/>
              </w:rPr>
            </w:pPr>
            <w:r w:rsidRPr="009C78C6">
              <w:rPr>
                <w:b w:val="0"/>
              </w:rPr>
              <w:t>Tips to Help your Child Succeed</w:t>
            </w:r>
          </w:p>
          <w:p w:rsidR="00307EC9" w:rsidRPr="00F767FE" w:rsidRDefault="005A3DD2" w:rsidP="00045AFC">
            <w:pPr>
              <w:pStyle w:val="ListParagraph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F767FE">
              <w:rPr>
                <w:b/>
              </w:rPr>
              <w:t>Create opportunities for success and avoid frustration when possible</w:t>
            </w:r>
          </w:p>
          <w:p w:rsidR="00045AFC" w:rsidRPr="00F767FE" w:rsidRDefault="00045AFC" w:rsidP="00045AFC">
            <w:pPr>
              <w:pStyle w:val="ListParagraph"/>
              <w:ind w:left="0"/>
            </w:pPr>
            <w:r w:rsidRPr="00F767FE">
              <w:t xml:space="preserve">Set up activities so that your child can succeed. If activity is too difficult, try to simplify or end the activity to avoid frustration </w:t>
            </w:r>
          </w:p>
          <w:p w:rsidR="005A3DD2" w:rsidRPr="00F767FE" w:rsidRDefault="005A3DD2" w:rsidP="00045AFC">
            <w:pPr>
              <w:pStyle w:val="ListParagraph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F767FE">
              <w:rPr>
                <w:b/>
              </w:rPr>
              <w:t>Build your child’s confidence</w:t>
            </w:r>
          </w:p>
          <w:p w:rsidR="00F767FE" w:rsidRPr="005956A0" w:rsidRDefault="006211D8" w:rsidP="005956A0">
            <w:pPr>
              <w:pStyle w:val="ListParagraph"/>
              <w:ind w:left="0"/>
            </w:pPr>
            <w:r w:rsidRPr="00F767FE">
              <w:t xml:space="preserve">Make statements like: ““I have every confidence in you” or “I knew you could handle that” </w:t>
            </w:r>
          </w:p>
          <w:p w:rsidR="005A3DD2" w:rsidRPr="00F767FE" w:rsidRDefault="005A3DD2" w:rsidP="00045AFC">
            <w:pPr>
              <w:pStyle w:val="ListParagraph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F767FE">
              <w:rPr>
                <w:b/>
              </w:rPr>
              <w:t>Prepare your child for new situations</w:t>
            </w:r>
          </w:p>
          <w:p w:rsidR="00045AFC" w:rsidRPr="00F767FE" w:rsidRDefault="00F767FE" w:rsidP="00045AFC">
            <w:pPr>
              <w:pStyle w:val="ListParagraph"/>
              <w:ind w:left="0"/>
            </w:pPr>
            <w:r w:rsidRPr="00F767FE">
              <w:t>Make your child aware of new environments and situations, and how to act in them.</w:t>
            </w:r>
          </w:p>
          <w:p w:rsidR="00307EC9" w:rsidRDefault="000659AD">
            <w:pPr>
              <w:pStyle w:val="Quote"/>
              <w:rPr>
                <w:rStyle w:val="QuoteChar"/>
                <w:i/>
                <w:iCs/>
              </w:rPr>
            </w:pPr>
            <w:r w:rsidRPr="000659AD">
              <w:t>By monitoring, supporting and advocating, parents can be engaged in ways that ensure that their children hav</w:t>
            </w:r>
            <w:r>
              <w:t>e every opportunity for success in life.</w:t>
            </w:r>
          </w:p>
          <w:p w:rsidR="005956A0" w:rsidRPr="00F767FE" w:rsidRDefault="005956A0" w:rsidP="005956A0">
            <w:pPr>
              <w:pStyle w:val="ListParagraph"/>
              <w:numPr>
                <w:ilvl w:val="0"/>
                <w:numId w:val="18"/>
              </w:numPr>
              <w:ind w:left="0"/>
              <w:rPr>
                <w:b/>
              </w:rPr>
            </w:pPr>
            <w:r w:rsidRPr="00F767FE">
              <w:rPr>
                <w:b/>
              </w:rPr>
              <w:t>Model what you want your child to do</w:t>
            </w:r>
          </w:p>
          <w:p w:rsidR="005956A0" w:rsidRDefault="005956A0" w:rsidP="005956A0">
            <w:pPr>
              <w:pStyle w:val="ListParagraph"/>
              <w:ind w:left="0"/>
            </w:pPr>
            <w:r w:rsidRPr="00F767FE">
              <w:t>Model activities for your child so that he or she can learn by observation.</w:t>
            </w:r>
            <w:r w:rsidR="000659AD">
              <w:t xml:space="preserve"> A role model is key for a child’s development.</w:t>
            </w:r>
          </w:p>
          <w:p w:rsidR="005956A0" w:rsidRDefault="005956A0" w:rsidP="005956A0">
            <w:pPr>
              <w:pStyle w:val="ListParagraph"/>
              <w:ind w:left="0"/>
            </w:pPr>
          </w:p>
          <w:p w:rsidR="005956A0" w:rsidRPr="005956A0" w:rsidRDefault="005956A0" w:rsidP="005956A0">
            <w:pPr>
              <w:pStyle w:val="ListParagraph"/>
              <w:ind w:left="0"/>
              <w:rPr>
                <w:b/>
              </w:rPr>
            </w:pPr>
          </w:p>
          <w:p w:rsidR="005956A0" w:rsidRPr="00F767FE" w:rsidRDefault="005956A0" w:rsidP="005956A0">
            <w:pPr>
              <w:pStyle w:val="ListParagraph"/>
              <w:ind w:left="0"/>
            </w:pPr>
          </w:p>
          <w:p w:rsidR="00307EC9" w:rsidRPr="0063311A" w:rsidRDefault="00307EC9" w:rsidP="0088158C"/>
        </w:tc>
        <w:tc>
          <w:tcPr>
            <w:tcW w:w="4565" w:type="dxa"/>
            <w:tcMar>
              <w:left w:w="720" w:type="dxa"/>
            </w:tcMar>
          </w:tcPr>
          <w:p w:rsidR="00306FBD" w:rsidRDefault="00306FBD" w:rsidP="001C3025">
            <w:pPr>
              <w:pStyle w:val="Heading1"/>
            </w:pPr>
            <w:r>
              <w:lastRenderedPageBreak/>
              <w:t xml:space="preserve">Important Strategies to get </w:t>
            </w:r>
            <w:r w:rsidR="001F6509">
              <w:t>Involved</w:t>
            </w:r>
            <w:r>
              <w:t xml:space="preserve"> </w:t>
            </w:r>
          </w:p>
          <w:p w:rsidR="00306FBD" w:rsidRDefault="00306FBD" w:rsidP="00306FBD">
            <w:pPr>
              <w:rPr>
                <w:b/>
              </w:rPr>
            </w:pPr>
          </w:p>
          <w:p w:rsidR="001C3025" w:rsidRPr="00306FBD" w:rsidRDefault="001C3025" w:rsidP="001C3025">
            <w:pPr>
              <w:rPr>
                <w:b/>
              </w:rPr>
            </w:pPr>
            <w:r w:rsidRPr="00306FBD">
              <w:rPr>
                <w:b/>
              </w:rPr>
              <w:t>Encourage Reading</w:t>
            </w:r>
          </w:p>
          <w:p w:rsidR="00306FBD" w:rsidRDefault="00F42489" w:rsidP="00306FBD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Read to your child and have your child </w:t>
            </w:r>
            <w:r w:rsid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read to you on a regular basis. </w:t>
            </w:r>
            <w:r w:rsidRPr="00F42489">
              <w:rPr>
                <w:rFonts w:ascii="Arial" w:hAnsi="Arial" w:cs="Arial"/>
                <w:color w:val="4D4D4D"/>
                <w:sz w:val="20"/>
                <w:szCs w:val="20"/>
              </w:rPr>
              <w:t>As students learn to read, they will then be able to read to learn.</w:t>
            </w:r>
          </w:p>
          <w:p w:rsidR="00306FBD" w:rsidRPr="00306FBD" w:rsidRDefault="00306FBD" w:rsidP="00306FBD">
            <w:pPr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b/>
                <w:color w:val="4D4D4D"/>
                <w:sz w:val="20"/>
                <w:szCs w:val="20"/>
              </w:rPr>
              <w:t>Review with your Child</w:t>
            </w:r>
          </w:p>
          <w:p w:rsidR="00306FBD" w:rsidRPr="00306FBD" w:rsidRDefault="00306FBD" w:rsidP="00306FBD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Ask your child about his or her day. Show your child that you have interest in his or her education. </w:t>
            </w:r>
          </w:p>
          <w:p w:rsidR="00306FBD" w:rsidRPr="00306FBD" w:rsidRDefault="00306FBD" w:rsidP="00306FBD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color w:val="4D4D4D"/>
                <w:sz w:val="20"/>
                <w:szCs w:val="20"/>
              </w:rPr>
              <w:t>Review notes, homework, and other materials with your child.</w:t>
            </w:r>
          </w:p>
          <w:p w:rsidR="00306FBD" w:rsidRDefault="00306FBD" w:rsidP="00306FBD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color w:val="4D4D4D"/>
                <w:sz w:val="20"/>
                <w:szCs w:val="20"/>
              </w:rPr>
              <w:t>Have your child teach you what they learned in the classroom. Doing this will create confidence in your child’s performance.</w:t>
            </w:r>
            <w:r w:rsidR="001F6509">
              <w:rPr>
                <w:noProof/>
                <w:lang w:eastAsia="en-US"/>
              </w:rPr>
              <w:t xml:space="preserve"> </w:t>
            </w:r>
          </w:p>
          <w:p w:rsidR="00306FBD" w:rsidRDefault="00306FBD" w:rsidP="00306FBD">
            <w:pPr>
              <w:pStyle w:val="ListParagraph"/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  <w:p w:rsidR="00306FBD" w:rsidRDefault="00306FBD" w:rsidP="00306FBD">
            <w:pPr>
              <w:pStyle w:val="ListParagraph"/>
              <w:ind w:left="0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b/>
                <w:color w:val="4D4D4D"/>
                <w:sz w:val="20"/>
                <w:szCs w:val="20"/>
              </w:rPr>
              <w:t xml:space="preserve">Give Encouragement </w:t>
            </w:r>
          </w:p>
          <w:p w:rsidR="00306FBD" w:rsidRPr="00306FBD" w:rsidRDefault="00306FBD" w:rsidP="00306FBD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306FBD">
              <w:rPr>
                <w:rFonts w:ascii="Arial" w:hAnsi="Arial" w:cs="Arial"/>
                <w:color w:val="4D4D4D"/>
                <w:sz w:val="20"/>
                <w:szCs w:val="20"/>
              </w:rPr>
              <w:t>Let your child know that you believe in their efforts.</w:t>
            </w:r>
          </w:p>
          <w:p w:rsidR="00307EC9" w:rsidRPr="000447CF" w:rsidRDefault="001F6509" w:rsidP="0063311A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882015</wp:posOffset>
                  </wp:positionV>
                  <wp:extent cx="1965960" cy="1301115"/>
                  <wp:effectExtent l="0" t="0" r="0" b="0"/>
                  <wp:wrapTight wrapText="bothSides">
                    <wp:wrapPolygon edited="0">
                      <wp:start x="0" y="0"/>
                      <wp:lineTo x="0" y="21189"/>
                      <wp:lineTo x="21349" y="21189"/>
                      <wp:lineTo x="21349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FBD" w:rsidRP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Create questions and scaffold your child when failure occurs. Make sure they know that you don’t </w:t>
            </w:r>
            <w:r w:rsidR="00306FBD">
              <w:rPr>
                <w:rFonts w:ascii="Arial" w:hAnsi="Arial" w:cs="Arial"/>
                <w:color w:val="4D4D4D"/>
                <w:sz w:val="20"/>
                <w:szCs w:val="20"/>
              </w:rPr>
              <w:t>always succeed the first time. Doing</w:t>
            </w:r>
            <w:r w:rsidR="00306FBD" w:rsidRP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 this will instill perseverance</w:t>
            </w:r>
            <w:r w:rsidR="00306FBD">
              <w:rPr>
                <w:rFonts w:ascii="Arial" w:hAnsi="Arial" w:cs="Arial"/>
                <w:color w:val="4D4D4D"/>
                <w:sz w:val="20"/>
                <w:szCs w:val="20"/>
              </w:rPr>
              <w:t xml:space="preserve"> for your child to take on any task</w:t>
            </w:r>
            <w:r w:rsidR="00306FBD" w:rsidRPr="00306FBD">
              <w:rPr>
                <w:rFonts w:ascii="Arial" w:hAnsi="Arial" w:cs="Arial"/>
                <w:color w:val="4D4D4D"/>
                <w:sz w:val="20"/>
                <w:szCs w:val="20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9D" w:rsidRDefault="00DC799D" w:rsidP="00BF6AFD">
      <w:pPr>
        <w:spacing w:after="0" w:line="240" w:lineRule="auto"/>
      </w:pPr>
      <w:r>
        <w:separator/>
      </w:r>
    </w:p>
  </w:endnote>
  <w:endnote w:type="continuationSeparator" w:id="0">
    <w:p w:rsidR="00DC799D" w:rsidRDefault="00DC799D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9D" w:rsidRDefault="00DC799D" w:rsidP="00BF6AFD">
      <w:pPr>
        <w:spacing w:after="0" w:line="240" w:lineRule="auto"/>
      </w:pPr>
      <w:r>
        <w:separator/>
      </w:r>
    </w:p>
  </w:footnote>
  <w:footnote w:type="continuationSeparator" w:id="0">
    <w:p w:rsidR="00DC799D" w:rsidRDefault="00DC799D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6F766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811D79"/>
    <w:multiLevelType w:val="hybridMultilevel"/>
    <w:tmpl w:val="89DE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083A"/>
    <w:multiLevelType w:val="hybridMultilevel"/>
    <w:tmpl w:val="B87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8F5"/>
    <w:multiLevelType w:val="hybridMultilevel"/>
    <w:tmpl w:val="A384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853B7"/>
    <w:multiLevelType w:val="hybridMultilevel"/>
    <w:tmpl w:val="B74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33"/>
    <w:rsid w:val="000447CF"/>
    <w:rsid w:val="00045AFC"/>
    <w:rsid w:val="000659AD"/>
    <w:rsid w:val="000E249F"/>
    <w:rsid w:val="001372C8"/>
    <w:rsid w:val="001947E7"/>
    <w:rsid w:val="001C3025"/>
    <w:rsid w:val="001D0847"/>
    <w:rsid w:val="001F6509"/>
    <w:rsid w:val="00227118"/>
    <w:rsid w:val="0025581E"/>
    <w:rsid w:val="00306FBD"/>
    <w:rsid w:val="00307EC9"/>
    <w:rsid w:val="00365EBB"/>
    <w:rsid w:val="003B391D"/>
    <w:rsid w:val="003E637D"/>
    <w:rsid w:val="00422379"/>
    <w:rsid w:val="0048634A"/>
    <w:rsid w:val="005259A3"/>
    <w:rsid w:val="005473B9"/>
    <w:rsid w:val="0056054A"/>
    <w:rsid w:val="00571D35"/>
    <w:rsid w:val="005956A0"/>
    <w:rsid w:val="005A3DD2"/>
    <w:rsid w:val="005E5178"/>
    <w:rsid w:val="005E51D7"/>
    <w:rsid w:val="006211D8"/>
    <w:rsid w:val="0063311A"/>
    <w:rsid w:val="00641501"/>
    <w:rsid w:val="0068396D"/>
    <w:rsid w:val="006A2E06"/>
    <w:rsid w:val="007014C5"/>
    <w:rsid w:val="007647EF"/>
    <w:rsid w:val="007E3C3A"/>
    <w:rsid w:val="0088158C"/>
    <w:rsid w:val="0089764D"/>
    <w:rsid w:val="008B000B"/>
    <w:rsid w:val="00937333"/>
    <w:rsid w:val="00960A60"/>
    <w:rsid w:val="009915C8"/>
    <w:rsid w:val="009C78C6"/>
    <w:rsid w:val="009F3198"/>
    <w:rsid w:val="00A155ED"/>
    <w:rsid w:val="00A54316"/>
    <w:rsid w:val="00A769D1"/>
    <w:rsid w:val="00A85868"/>
    <w:rsid w:val="00A95BFB"/>
    <w:rsid w:val="00AB72BA"/>
    <w:rsid w:val="00AD7341"/>
    <w:rsid w:val="00B01442"/>
    <w:rsid w:val="00B16D26"/>
    <w:rsid w:val="00BF6AFD"/>
    <w:rsid w:val="00C476E1"/>
    <w:rsid w:val="00CD1DEA"/>
    <w:rsid w:val="00D27440"/>
    <w:rsid w:val="00DB5D32"/>
    <w:rsid w:val="00DC799D"/>
    <w:rsid w:val="00EE0A38"/>
    <w:rsid w:val="00F42489"/>
    <w:rsid w:val="00F65FF0"/>
    <w:rsid w:val="00F66B21"/>
    <w:rsid w:val="00F767FE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35A6D"/>
  <w15:chartTrackingRefBased/>
  <w15:docId w15:val="{539B860B-D4D8-4995-B2C8-C077D45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el%20Use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75A85597B4BFAB4A3A3EC1D8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9B4E-82BA-49D9-96CB-2DE3AF974512}"/>
      </w:docPartPr>
      <w:docPartBody>
        <w:p w:rsidR="00595581" w:rsidRDefault="00595581">
          <w:pPr>
            <w:pStyle w:val="8A475A85597B4BFAB4A3A3EC1D877FC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1"/>
    <w:rsid w:val="005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93A12823B4B9CB47E4E366CB36AA4">
    <w:name w:val="10A93A12823B4B9CB47E4E366CB36AA4"/>
  </w:style>
  <w:style w:type="paragraph" w:customStyle="1" w:styleId="ABEA9EC6C6524A2C9770797074218212">
    <w:name w:val="ABEA9EC6C6524A2C9770797074218212"/>
  </w:style>
  <w:style w:type="paragraph" w:customStyle="1" w:styleId="2BAACB1A1E7141B7AAEDA9F3F4B37782">
    <w:name w:val="2BAACB1A1E7141B7AAEDA9F3F4B37782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3F209EBAC5794591AE37AE3D4CDF91CC">
    <w:name w:val="3F209EBAC5794591AE37AE3D4CDF91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D38838284B4CF082616EAFF12D97C6">
    <w:name w:val="78D38838284B4CF082616EAFF12D97C6"/>
  </w:style>
  <w:style w:type="paragraph" w:customStyle="1" w:styleId="46D746DA1B2D4B72A94D1C36757AECED">
    <w:name w:val="46D746DA1B2D4B72A94D1C36757AECED"/>
  </w:style>
  <w:style w:type="paragraph" w:customStyle="1" w:styleId="0345E838AEAC46CBAE2C7476837D1844">
    <w:name w:val="0345E838AEAC46CBAE2C7476837D1844"/>
  </w:style>
  <w:style w:type="paragraph" w:customStyle="1" w:styleId="2E1CBD9C154642028B52C2EDDD7FDA4A">
    <w:name w:val="2E1CBD9C154642028B52C2EDDD7FDA4A"/>
  </w:style>
  <w:style w:type="paragraph" w:customStyle="1" w:styleId="CFE7C6B9FA1F4EAC8AB4AB4DE0FDA92E">
    <w:name w:val="CFE7C6B9FA1F4EAC8AB4AB4DE0FDA92E"/>
  </w:style>
  <w:style w:type="paragraph" w:customStyle="1" w:styleId="78EEFF64B7954092A7DF01E4E5998D84">
    <w:name w:val="78EEFF64B7954092A7DF01E4E5998D84"/>
  </w:style>
  <w:style w:type="paragraph" w:customStyle="1" w:styleId="3315A340B7F943FCACDEF80F4C48CFFE">
    <w:name w:val="3315A340B7F943FCACDEF80F4C48CFFE"/>
  </w:style>
  <w:style w:type="paragraph" w:customStyle="1" w:styleId="FFCF8C57E3F04905A60E03ECB69071DB">
    <w:name w:val="FFCF8C57E3F04905A60E03ECB69071DB"/>
  </w:style>
  <w:style w:type="paragraph" w:customStyle="1" w:styleId="E2A0180CDD8E4F93B31E31823A9A19A6">
    <w:name w:val="E2A0180CDD8E4F93B31E31823A9A19A6"/>
  </w:style>
  <w:style w:type="paragraph" w:customStyle="1" w:styleId="8A475A85597B4BFAB4A3A3EC1D877FC8">
    <w:name w:val="8A475A85597B4BFAB4A3A3EC1D877FC8"/>
  </w:style>
  <w:style w:type="paragraph" w:customStyle="1" w:styleId="DA62025986EF4D7BBB78D5552C8BC06E">
    <w:name w:val="DA62025986EF4D7BBB78D5552C8BC06E"/>
  </w:style>
  <w:style w:type="paragraph" w:customStyle="1" w:styleId="109F4C36072846CF9E4776CBE30A1A52">
    <w:name w:val="109F4C36072846CF9E4776CBE30A1A52"/>
  </w:style>
  <w:style w:type="paragraph" w:customStyle="1" w:styleId="20393B07E497450BB71CE4A9F6FA0BC9">
    <w:name w:val="20393B07E497450BB71CE4A9F6FA0BC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2A7C23EF2C240F09D3CDD91D20492C8">
    <w:name w:val="02A7C23EF2C240F09D3CDD91D20492C8"/>
  </w:style>
  <w:style w:type="paragraph" w:customStyle="1" w:styleId="AC1B90E5CA7A4301869946EBC4950F32">
    <w:name w:val="AC1B90E5CA7A4301869946EBC4950F32"/>
  </w:style>
  <w:style w:type="paragraph" w:customStyle="1" w:styleId="83EC316E9D9740ECB14668F5F8A80011">
    <w:name w:val="83EC316E9D9740ECB14668F5F8A80011"/>
  </w:style>
  <w:style w:type="paragraph" w:customStyle="1" w:styleId="A8927322425B41B1AAC083BBEFA4E456">
    <w:name w:val="A8927322425B41B1AAC083BBEFA4E456"/>
  </w:style>
  <w:style w:type="paragraph" w:customStyle="1" w:styleId="17362FC511554AE3A8E19C69A9A0145A">
    <w:name w:val="17362FC511554AE3A8E19C69A9A0145A"/>
  </w:style>
  <w:style w:type="paragraph" w:customStyle="1" w:styleId="66EB901630224602A1D87C1E4EDD94AF">
    <w:name w:val="66EB901630224602A1D87C1E4EDD94AF"/>
  </w:style>
  <w:style w:type="paragraph" w:customStyle="1" w:styleId="447E1271D10842CFA4A0C62C1239FDAC">
    <w:name w:val="447E1271D10842CFA4A0C62C1239FDAC"/>
  </w:style>
  <w:style w:type="paragraph" w:customStyle="1" w:styleId="4F68B81B87F44BFE90EB7C6164C011A9">
    <w:name w:val="4F68B81B87F44BFE90EB7C6164C011A9"/>
  </w:style>
  <w:style w:type="paragraph" w:customStyle="1" w:styleId="7E0F7B53F3D74F648259019F0B17B4D2">
    <w:name w:val="7E0F7B53F3D74F648259019F0B17B4D2"/>
  </w:style>
  <w:style w:type="paragraph" w:customStyle="1" w:styleId="57588CDABE0E48B38CA88427B38CF1F1">
    <w:name w:val="57588CDABE0E48B38CA88427B38CF1F1"/>
  </w:style>
  <w:style w:type="paragraph" w:customStyle="1" w:styleId="422F4A68A1B24FF3AF786C9954BF7876">
    <w:name w:val="422F4A68A1B24FF3AF786C9954BF7876"/>
  </w:style>
  <w:style w:type="paragraph" w:customStyle="1" w:styleId="335E490A90DE47B1B073A2055A2375F0">
    <w:name w:val="335E490A90DE47B1B073A2055A2375F0"/>
  </w:style>
  <w:style w:type="paragraph" w:customStyle="1" w:styleId="2F8F52F67ECD48AC9B16318CDCAD8E48">
    <w:name w:val="2F8F52F67ECD48AC9B16318CDCAD8E48"/>
    <w:rsid w:val="00595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829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Thiel User</dc:creator>
  <cp:keywords>Student Success Outside of the classroom</cp:keywords>
  <cp:lastModifiedBy>Justin Walter</cp:lastModifiedBy>
  <cp:revision>3</cp:revision>
  <cp:lastPrinted>2018-10-17T16:27:00Z</cp:lastPrinted>
  <dcterms:created xsi:type="dcterms:W3CDTF">2018-10-17T02:41:00Z</dcterms:created>
  <dcterms:modified xsi:type="dcterms:W3CDTF">2018-10-17T16:35:00Z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